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tLeast" w:line="30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>
      <w:pPr>
        <w:pStyle w:val="Normal"/>
        <w:widowControl/>
        <w:spacing w:lineRule="atLeast" w:line="300"/>
        <w:ind w:left="0" w:right="0" w:hanging="0"/>
        <w:jc w:val="both"/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</w:pPr>
      <w:r>
        <w:rPr/>
      </w:r>
    </w:p>
    <w:p>
      <w:pPr>
        <w:pStyle w:val="Normal"/>
        <w:widowControl/>
        <w:spacing w:lineRule="atLeast" w:line="300"/>
        <w:ind w:left="0" w:right="0" w:hanging="0"/>
        <w:jc w:val="both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Основным нормативным актом, определяющим порядок проведения проверок и меры по защите прав и законных интересов предпринимателей, является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В соответствии с изменениями, внесенными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плановые проверки не будут проводится в отношении юридических лиц, индивидуальных предпринимателей, отнесенных к категории субъектов малого предпринимательства, за исключением юридических лиц, индивидуальных предпринимателей, осуществляющих виды деятельность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эффективности.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Указанные нововведения не коснутся осуществления: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объекты I или II класса опасности;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4) федерального государственного надзора в области обеспечения радиационной безопасности;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5) федерального государственного контроля за обеспечением защиты государственной тайны;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7) внешнего контроля качества работы аудиторских организаций, определенных Федеральным законом от 30.12.2008 г. № 307-ФЗ «Об аудиторской деятельности»;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8) федерального государственного надзора в области использования атомной энергии.</w:t>
      </w:r>
      <w:r>
        <w:rPr/>
        <w:br/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Информацию о включенных в ежегодный план проверок юридических лиц и индивидуальных предпринимателей можно получить на официальных сайтах органов контроля (надзора), а также на официальном сайте Генеральной прокуратуры Российской Федерации (genproc.gov.ru), официальном сайте прокуратуры Республики Алтай (prokuratura-ra.ru).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1</Pages>
  <Words>317</Words>
  <Characters>2523</Characters>
  <CharactersWithSpaces>2839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2016-06-07T20:34:13Z</dcterms:created>
  <dc:creator/>
  <dc:description/>
  <dc:language>ru-RU</dc:language>
  <cp:lastModifiedBy/>
  <dcterms:modified xsi:type="dcterms:W3CDTF">2016-06-07T20:34:51Z</dcterms:modified>
  <cp:revision>1</cp:revision>
  <dc:subject/>
  <dc:title/>
</cp:coreProperties>
</file>